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</w:tblGrid>
      <w:tr w:rsidR="00D21DC6" w:rsidRPr="00D21DC6" w:rsidTr="00D21DC6">
        <w:tc>
          <w:tcPr>
            <w:tcW w:w="8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D21DC6" w:rsidRDefault="00D21DC6" w:rsidP="00D21DC6">
            <w:pPr>
              <w:spacing w:after="0" w:line="240" w:lineRule="auto"/>
              <w:textAlignment w:val="baseline"/>
              <w:outlineLvl w:val="0"/>
              <w:rPr>
                <w:rFonts w:ascii="MyriadPro" w:eastAsia="Times New Roman" w:hAnsi="MyriadPro" w:cs="Tahoma"/>
                <w:b/>
                <w:bCs/>
                <w:color w:val="213B5F"/>
                <w:kern w:val="36"/>
                <w:sz w:val="27"/>
                <w:szCs w:val="27"/>
                <w:lang w:eastAsia="ru-RU"/>
              </w:rPr>
            </w:pPr>
            <w:r w:rsidRPr="00D21DC6">
              <w:rPr>
                <w:rFonts w:ascii="MyriadPro" w:eastAsia="Times New Roman" w:hAnsi="MyriadPro" w:cs="Tahoma"/>
                <w:b/>
                <w:bCs/>
                <w:color w:val="213B5F"/>
                <w:kern w:val="36"/>
                <w:sz w:val="27"/>
                <w:szCs w:val="27"/>
                <w:lang w:eastAsia="ru-RU"/>
              </w:rPr>
              <w:t>Деконструкция и трансформация</w:t>
            </w:r>
            <w:r>
              <w:rPr>
                <w:rFonts w:ascii="MyriadPro" w:eastAsia="Times New Roman" w:hAnsi="MyriadPro" w:cs="Tahoma"/>
                <w:b/>
                <w:bCs/>
                <w:color w:val="213B5F"/>
                <w:kern w:val="36"/>
                <w:sz w:val="27"/>
                <w:szCs w:val="27"/>
                <w:lang w:eastAsia="ru-RU"/>
              </w:rPr>
              <w:t>.</w:t>
            </w:r>
            <w:r w:rsidRPr="00D21DC6">
              <w:rPr>
                <w:rFonts w:ascii="MyriadPro" w:eastAsia="Times New Roman" w:hAnsi="MyriadPro" w:cs="Tahoma"/>
                <w:b/>
                <w:bCs/>
                <w:color w:val="213B5F"/>
                <w:kern w:val="36"/>
                <w:sz w:val="27"/>
                <w:szCs w:val="27"/>
                <w:lang w:eastAsia="ru-RU"/>
              </w:rPr>
              <w:t xml:space="preserve"> </w:t>
            </w:r>
          </w:p>
          <w:p w:rsidR="00D21DC6" w:rsidRPr="00D21DC6" w:rsidRDefault="00D21DC6" w:rsidP="00D21DC6">
            <w:pPr>
              <w:spacing w:after="0" w:line="240" w:lineRule="auto"/>
              <w:textAlignment w:val="baseline"/>
              <w:outlineLvl w:val="0"/>
              <w:rPr>
                <w:rFonts w:ascii="MyriadPro" w:eastAsia="Times New Roman" w:hAnsi="MyriadPro" w:cs="Tahoma"/>
                <w:b/>
                <w:bCs/>
                <w:color w:val="213B5F"/>
                <w:kern w:val="36"/>
                <w:sz w:val="27"/>
                <w:szCs w:val="27"/>
                <w:lang w:eastAsia="ru-RU"/>
              </w:rPr>
            </w:pPr>
          </w:p>
          <w:p w:rsidR="00D21DC6" w:rsidRPr="008B1DEB" w:rsidRDefault="00D21DC6" w:rsidP="00D2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C6">
              <w:rPr>
                <w:rFonts w:ascii="inherit" w:eastAsia="Times New Roman" w:hAnsi="inherit" w:cs="Tahoma"/>
                <w:noProof/>
                <w:color w:val="00638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 wp14:anchorId="70636533" wp14:editId="2ECDC12E">
                  <wp:extent cx="2247900" cy="2857500"/>
                  <wp:effectExtent l="0" t="0" r="0" b="0"/>
                  <wp:docPr id="2" name="Рисунок 2" descr="Жак_2014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ак_2014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DC6">
              <w:rPr>
                <w:rFonts w:ascii="inherit" w:eastAsia="Times New Roman" w:hAnsi="inherit" w:cs="Tahoma"/>
                <w:color w:val="000000"/>
                <w:sz w:val="17"/>
                <w:szCs w:val="17"/>
                <w:lang w:eastAsia="ru-RU"/>
              </w:rPr>
              <w:br/>
            </w:r>
          </w:p>
          <w:p w:rsidR="00D21DC6" w:rsidRPr="008B1DEB" w:rsidRDefault="00D21DC6" w:rsidP="00D2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семинаре будут представлены основные способы работы в терапии выразительными искусствами: деконструкция и трансформация, де-коллаж и </w:t>
            </w:r>
            <w:bookmarkStart w:id="0" w:name="_GoBack"/>
            <w:bookmarkEnd w:id="0"/>
            <w:proofErr w:type="spellStart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децентрация</w:t>
            </w:r>
            <w:proofErr w:type="spellEnd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целью усиления и развития творческого исследования и реальности жизни и ее трансформации. Участники семинара познакомятся с основными методами направления </w:t>
            </w:r>
            <w:proofErr w:type="spellStart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Expressive</w:t>
            </w:r>
            <w:proofErr w:type="spellEnd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</w:t>
            </w:r>
            <w:proofErr w:type="spellEnd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Therapy</w:t>
            </w:r>
            <w:proofErr w:type="spellEnd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Арт-аналогия, Переходное (Транзиторное) пространство, Деконструкция и Трансформация.</w:t>
            </w:r>
          </w:p>
          <w:p w:rsidR="00D21DC6" w:rsidRPr="008B1DEB" w:rsidRDefault="00D21DC6" w:rsidP="00D2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слушателям представление об основных методах терапии выразительными искусствами: де-</w:t>
            </w:r>
            <w:proofErr w:type="spellStart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центрации</w:t>
            </w:r>
            <w:proofErr w:type="spellEnd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деконструкции.</w:t>
            </w:r>
          </w:p>
          <w:p w:rsidR="00D21DC6" w:rsidRPr="008B1DEB" w:rsidRDefault="00D21DC6" w:rsidP="00D2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21DC6" w:rsidRPr="008B1DEB" w:rsidRDefault="00D21DC6" w:rsidP="00D21DC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философией и терапевтическими возможностями переходного пространства, игры </w:t>
            </w:r>
            <w:proofErr w:type="spellStart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Play&amp;Game</w:t>
            </w:r>
            <w:proofErr w:type="spellEnd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(Концепция </w:t>
            </w:r>
            <w:proofErr w:type="spellStart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Д.Винникотта</w:t>
            </w:r>
            <w:proofErr w:type="spellEnd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D21DC6" w:rsidRPr="008B1DEB" w:rsidRDefault="00D21DC6" w:rsidP="00D21DC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навыки применения </w:t>
            </w:r>
            <w:proofErr w:type="spellStart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интермодального</w:t>
            </w:r>
            <w:proofErr w:type="spellEnd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перехода из одной модальности выразительного искусства в другую (от движения к образу; от образа через поэзию к театру и т.д.);</w:t>
            </w:r>
          </w:p>
          <w:p w:rsidR="00D21DC6" w:rsidRPr="008B1DEB" w:rsidRDefault="00D21DC6" w:rsidP="00D21DC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структуре сессии в рамках терапии выразительными искусствами и об особенности помогающих отношений в пространстве терапии выразительными искусствами.</w:t>
            </w:r>
          </w:p>
          <w:p w:rsidR="00D21DC6" w:rsidRPr="008B1DEB" w:rsidRDefault="00D21DC6" w:rsidP="00D2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будет интересен педагогам и психологам, использующих творчество, танцевальные терапевты, </w:t>
            </w:r>
            <w:proofErr w:type="spellStart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музыко</w:t>
            </w:r>
            <w:proofErr w:type="spellEnd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арт-, драма- терапевты, </w:t>
            </w:r>
            <w:proofErr w:type="spellStart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психодраматисты</w:t>
            </w:r>
            <w:proofErr w:type="spellEnd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другим специалистам, использующие выразительные искусства в своей работе.</w:t>
            </w:r>
          </w:p>
          <w:p w:rsidR="00D21DC6" w:rsidRPr="008B1DEB" w:rsidRDefault="00D21DC6" w:rsidP="00D2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результате работы участники:</w:t>
            </w:r>
          </w:p>
          <w:p w:rsidR="00D21DC6" w:rsidRPr="008B1DEB" w:rsidRDefault="00D21DC6" w:rsidP="00D21DC6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познакомятся с деконструкцией и трансформацией в контексте философии, теории и практики терапии выразительными искусствами;</w:t>
            </w:r>
          </w:p>
          <w:p w:rsidR="00D21DC6" w:rsidRPr="008B1DEB" w:rsidRDefault="00D21DC6" w:rsidP="00D21DC6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овладеют навыками де-коллажа в творческом исследовании проблем;</w:t>
            </w:r>
          </w:p>
          <w:p w:rsidR="00D21DC6" w:rsidRPr="008B1DEB" w:rsidRDefault="00D21DC6" w:rsidP="00D21DC6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познакомятся с конструктами и </w:t>
            </w:r>
            <w:proofErr w:type="spellStart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деконструктами</w:t>
            </w:r>
            <w:proofErr w:type="spellEnd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арт-процессе помогающих отношений;</w:t>
            </w:r>
          </w:p>
          <w:p w:rsidR="00D21DC6" w:rsidRPr="008B1DEB" w:rsidRDefault="00D21DC6" w:rsidP="00D21DC6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разовьют чувствительность к арт-процессу как методу поиска ответов на важные вопросы жизни.</w:t>
            </w:r>
          </w:p>
          <w:p w:rsidR="00D21DC6" w:rsidRPr="008B1DEB" w:rsidRDefault="00D21DC6" w:rsidP="00D2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Преподаватель: </w:t>
            </w:r>
            <w:hyperlink r:id="rId7" w:history="1">
              <w:r w:rsidRPr="008B1DEB">
                <w:rPr>
                  <w:rFonts w:ascii="Times New Roman" w:eastAsia="Times New Roman" w:hAnsi="Times New Roman" w:cs="Times New Roman"/>
                  <w:color w:val="0063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Жак </w:t>
              </w:r>
              <w:proofErr w:type="spellStart"/>
              <w:r w:rsidRPr="008B1DEB">
                <w:rPr>
                  <w:rFonts w:ascii="Times New Roman" w:eastAsia="Times New Roman" w:hAnsi="Times New Roman" w:cs="Times New Roman"/>
                  <w:color w:val="0063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Стителманн</w:t>
              </w:r>
              <w:proofErr w:type="spellEnd"/>
            </w:hyperlink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(Швейцария), </w:t>
            </w:r>
            <w:proofErr w:type="spellStart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PhD</w:t>
            </w:r>
            <w:proofErr w:type="spellEnd"/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CAGS</w:t>
            </w:r>
          </w:p>
          <w:p w:rsidR="00D21DC6" w:rsidRPr="008B1DEB" w:rsidRDefault="00D21DC6" w:rsidP="00D2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Контакты: exat.edu@gmail.com</w:t>
            </w:r>
          </w:p>
          <w:p w:rsidR="00D21DC6" w:rsidRPr="008B1DEB" w:rsidRDefault="00D21DC6" w:rsidP="00D2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кафедры: </w:t>
            </w:r>
            <w:hyperlink r:id="rId8" w:history="1">
              <w:r w:rsidRPr="008B1DEB">
                <w:rPr>
                  <w:rFonts w:ascii="Times New Roman" w:eastAsia="Times New Roman" w:hAnsi="Times New Roman" w:cs="Times New Roman"/>
                  <w:color w:val="0063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Гончарова Юлия Игоревна</w:t>
              </w:r>
            </w:hyperlink>
          </w:p>
          <w:p w:rsidR="00D21DC6" w:rsidRPr="008B1DEB" w:rsidRDefault="00D21DC6" w:rsidP="00D21D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программы </w:t>
            </w:r>
            <w:hyperlink r:id="rId9" w:history="1">
              <w:r w:rsidRPr="008B1DEB">
                <w:rPr>
                  <w:rFonts w:ascii="Times New Roman" w:eastAsia="Times New Roman" w:hAnsi="Times New Roman" w:cs="Times New Roman"/>
                  <w:color w:val="0063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Буренкова Елена (Алена) Валентиновна</w:t>
              </w:r>
            </w:hyperlink>
          </w:p>
          <w:p w:rsidR="00D21DC6" w:rsidRPr="00D21DC6" w:rsidRDefault="00D21DC6" w:rsidP="00D21DC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7"/>
                <w:szCs w:val="17"/>
                <w:lang w:eastAsia="ru-RU"/>
              </w:rPr>
            </w:pPr>
            <w:r w:rsidRPr="00D21DC6">
              <w:rPr>
                <w:rFonts w:ascii="inherit" w:eastAsia="Times New Roman" w:hAnsi="inherit" w:cs="Tahoma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21DC6" w:rsidRPr="00D21DC6" w:rsidTr="00D21D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21DC6" w:rsidRPr="00D21DC6" w:rsidRDefault="00D21DC6" w:rsidP="00D21DC6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D21DC6" w:rsidRPr="00D21DC6" w:rsidRDefault="00D21DC6" w:rsidP="00D21DC6">
      <w:pPr>
        <w:shd w:val="clear" w:color="auto" w:fill="FFFFFF"/>
        <w:spacing w:after="0" w:line="600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D21DC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© 2018</w:t>
      </w:r>
    </w:p>
    <w:p w:rsidR="00C315F9" w:rsidRDefault="008B1DEB"/>
    <w:sectPr w:rsidR="00C3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5C43"/>
    <w:multiLevelType w:val="multilevel"/>
    <w:tmpl w:val="7C68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38611A"/>
    <w:multiLevelType w:val="multilevel"/>
    <w:tmpl w:val="DC1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5B"/>
    <w:rsid w:val="0025796C"/>
    <w:rsid w:val="00764FBD"/>
    <w:rsid w:val="0089285B"/>
    <w:rsid w:val="008B1DEB"/>
    <w:rsid w:val="00D2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3247E-96CC-4CF9-A04C-DCCD0754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t-edu.ru/goncharova-yul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dt-edu.ru/teachers/jacques-stitelman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tdt-edu.ru/wp-content/uploads/2012/12/%D0%96%D0%B0%D0%BA_2014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dt-edu.ru/teachers/burenkova-elena-alena-valentino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2018-04-27T12:20:00Z</dcterms:created>
  <dcterms:modified xsi:type="dcterms:W3CDTF">2018-04-27T12:23:00Z</dcterms:modified>
</cp:coreProperties>
</file>